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AF" w:rsidRPr="00D756AF" w:rsidRDefault="00D756AF" w:rsidP="00D756AF">
      <w:pPr>
        <w:spacing w:before="100" w:line="240" w:lineRule="auto"/>
        <w:jc w:val="both"/>
        <w:rPr>
          <w:rFonts w:ascii="Calibri" w:eastAsia="Times New Roman" w:hAnsi="Calibri" w:cs="Calibri"/>
          <w:color w:val="000000"/>
        </w:rPr>
      </w:pPr>
      <w:bookmarkStart w:id="0" w:name="_GoBack"/>
      <w:bookmarkEnd w:id="0"/>
      <w:r w:rsidRPr="00D756AF">
        <w:rPr>
          <w:rFonts w:ascii="Arial" w:eastAsia="Times New Roman" w:hAnsi="Arial" w:cs="Arial"/>
          <w:b/>
          <w:bCs/>
          <w:color w:val="000000"/>
          <w:sz w:val="20"/>
          <w:szCs w:val="20"/>
        </w:rPr>
        <w:t>Sweden</w:t>
      </w:r>
    </w:p>
    <w:p w:rsidR="00D756AF" w:rsidRPr="00D756AF" w:rsidRDefault="00D756AF" w:rsidP="00D756AF">
      <w:pPr>
        <w:spacing w:before="100" w:line="240" w:lineRule="auto"/>
        <w:jc w:val="center"/>
        <w:rPr>
          <w:rFonts w:ascii="Calibri" w:eastAsia="Times New Roman" w:hAnsi="Calibri" w:cs="Calibri"/>
          <w:color w:val="000000"/>
        </w:rPr>
      </w:pPr>
      <w:r w:rsidRPr="00D756AF">
        <w:rPr>
          <w:rFonts w:ascii="Arial" w:eastAsia="Times New Roman" w:hAnsi="Arial" w:cs="Arial"/>
          <w:b/>
          <w:bCs/>
          <w:color w:val="000000"/>
          <w:sz w:val="20"/>
          <w:szCs w:val="20"/>
        </w:rPr>
        <w:t>Double Taxation Avoidance Agreement</w:t>
      </w:r>
    </w:p>
    <w:p w:rsidR="00D756AF" w:rsidRPr="00D756AF" w:rsidRDefault="00D756AF" w:rsidP="00D756AF">
      <w:pPr>
        <w:spacing w:before="100" w:line="240" w:lineRule="auto"/>
        <w:jc w:val="center"/>
        <w:rPr>
          <w:rFonts w:ascii="Calibri" w:eastAsia="Times New Roman" w:hAnsi="Calibri" w:cs="Calibri"/>
          <w:color w:val="000000"/>
        </w:rPr>
      </w:pPr>
      <w:r w:rsidRPr="00D756AF">
        <w:rPr>
          <w:rFonts w:ascii="Arial" w:eastAsia="Times New Roman" w:hAnsi="Arial" w:cs="Arial"/>
          <w:b/>
          <w:bCs/>
          <w:color w:val="000000"/>
          <w:sz w:val="20"/>
          <w:szCs w:val="20"/>
        </w:rPr>
        <w:t>Income-tax Act, 1961</w:t>
      </w:r>
      <w:proofErr w:type="gramStart"/>
      <w:r w:rsidRPr="00D756AF">
        <w:rPr>
          <w:rFonts w:ascii="Arial" w:eastAsia="Times New Roman" w:hAnsi="Arial" w:cs="Arial"/>
          <w:b/>
          <w:bCs/>
          <w:color w:val="000000"/>
          <w:sz w:val="20"/>
          <w:szCs w:val="20"/>
        </w:rPr>
        <w:t>:Notification</w:t>
      </w:r>
      <w:proofErr w:type="gramEnd"/>
      <w:r w:rsidRPr="00D756AF">
        <w:rPr>
          <w:rFonts w:ascii="Arial" w:eastAsia="Times New Roman" w:hAnsi="Arial" w:cs="Arial"/>
          <w:b/>
          <w:bCs/>
          <w:color w:val="000000"/>
          <w:sz w:val="20"/>
          <w:szCs w:val="20"/>
        </w:rPr>
        <w:t xml:space="preserve"> under section 90:Convention between the Government of the Kingdom of Sweden and the Government of the Republic of India for avoidance of Double Taxation and prevention of Fiscal Evasion with respect to taxes on income and on capital</w:t>
      </w:r>
    </w:p>
    <w:p w:rsidR="00D756AF" w:rsidRPr="00D756AF" w:rsidRDefault="00D756AF" w:rsidP="00D756AF">
      <w:pPr>
        <w:spacing w:before="100" w:line="240" w:lineRule="auto"/>
        <w:jc w:val="both"/>
        <w:rPr>
          <w:rFonts w:ascii="Calibri" w:eastAsia="Times New Roman" w:hAnsi="Calibri" w:cs="Calibri"/>
          <w:color w:val="000000"/>
        </w:rPr>
      </w:pPr>
      <w:proofErr w:type="gramStart"/>
      <w:r w:rsidRPr="00D756AF">
        <w:rPr>
          <w:rFonts w:ascii="Arial" w:eastAsia="Times New Roman" w:hAnsi="Arial" w:cs="Arial"/>
          <w:b/>
          <w:bCs/>
          <w:color w:val="000000"/>
          <w:sz w:val="20"/>
          <w:szCs w:val="20"/>
        </w:rPr>
        <w:t>Notification No.</w:t>
      </w:r>
      <w:proofErr w:type="gramEnd"/>
      <w:r w:rsidRPr="00D756AF">
        <w:rPr>
          <w:rFonts w:ascii="Arial" w:eastAsia="Times New Roman" w:hAnsi="Arial" w:cs="Arial"/>
          <w:b/>
          <w:bCs/>
          <w:color w:val="000000"/>
          <w:sz w:val="20"/>
          <w:szCs w:val="20"/>
        </w:rPr>
        <w:t xml:space="preserve"> G. S. R. 705(E), dtd. </w:t>
      </w:r>
      <w:proofErr w:type="gramStart"/>
      <w:r w:rsidRPr="00D756AF">
        <w:rPr>
          <w:rFonts w:ascii="Arial" w:eastAsia="Times New Roman" w:hAnsi="Arial" w:cs="Arial"/>
          <w:b/>
          <w:bCs/>
          <w:color w:val="000000"/>
          <w:sz w:val="20"/>
          <w:szCs w:val="20"/>
        </w:rPr>
        <w:t>17.12.1997.</w:t>
      </w:r>
      <w:proofErr w:type="gramEnd"/>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Whereas the annexed Convention between the Government of the Kingdom of Sweden and the Government of the Republic of India for the Avoidance of Double Taxation and the Prevention of Fiscal Evasion with respect to taxes on income and on capital shall come into force, on the twenty-fifth day of the December, 1997, thirty days after the receipt of the letter of the notifications by both the Contracting States to each other of the procedures required under their laws for bringing into force of the said Convention in accordance with Article 30 of the said Convention;</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Now, therefore, in exercise of the powers conferred under section 90 of the Income-tax Act, 1961 (43 of 1961) and section 44A of the Wealth-tax Act, 1957 (27 of 1957), the Central Government hereby directs that all the provisions of the said convention shall be given effect to in the Union of India.</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CONVENTION BETWEEN THE GOVERNMENT OF THE REPUBLIC OF INDIA AND THE GOVERNMENT OF THE KINGDOM OF SWEDEN FOR THE AVOIDANCE OF DOUBLE TAXATION AND THE PREVENTION OF FISCAL EVASION WITH RESPECT TO TAXES ON INCOME AND ON CAPITAL</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The Government of the Republic of India and the Government of the Kingdom of Sweden, desiring to conclude a Convention for the Avoidance of Double Taxation and the Prevention of Fiscal Evasion with respect to taxes on income and on capital and with a view to promoting economic co-operation between the two countries, have agreed as follows: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PERSONAL SCOPE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This Convention shall apply to persons who are residents of one or both of the Contracting States.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2</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TAXES COVERED</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This Convention shall apply to taxes on income and on capital imposed on behalf of a Contracting State or of its political sub-divisions or local authorities, irrespective of the manner in which they are levied.</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There shall be regarded as taxes on income and on capital all taxes imposed on total income, on total capital, or on elements of income or of capital, including taxes on gains from the alienation of movable or immovable property, taxes on the total amounts of wages or salaries paid by enterprises, as well as taxes on capital appreciation.</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existing taxes to which this Convention shall apply are in particular:</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b/>
          <w:bCs/>
          <w:color w:val="000000"/>
          <w:sz w:val="20"/>
          <w:szCs w:val="20"/>
        </w:rPr>
        <w:t>a</w:t>
      </w:r>
      <w:proofErr w:type="gramEnd"/>
      <w:r w:rsidRPr="00D756AF">
        <w:rPr>
          <w:rFonts w:ascii="Arial" w:eastAsia="Times New Roman" w:hAnsi="Arial" w:cs="Arial"/>
          <w:b/>
          <w:bCs/>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b/>
          <w:bCs/>
          <w:color w:val="000000"/>
          <w:sz w:val="20"/>
          <w:szCs w:val="20"/>
        </w:rPr>
        <w:t>In India:</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income-tax, including any surcharge thereon; and</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ii.</w:t>
      </w: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the</w:t>
      </w:r>
      <w:proofErr w:type="gramEnd"/>
      <w:r w:rsidRPr="00D756AF">
        <w:rPr>
          <w:rFonts w:ascii="Arial" w:eastAsia="Times New Roman" w:hAnsi="Arial" w:cs="Arial"/>
          <w:color w:val="000000"/>
          <w:sz w:val="20"/>
          <w:szCs w:val="20"/>
        </w:rPr>
        <w:t xml:space="preserve"> tax on capital (the wealth-tax); (hereinafter referred to as 'Indian tax');</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b/>
          <w:bCs/>
          <w:color w:val="000000"/>
          <w:sz w:val="20"/>
          <w:szCs w:val="20"/>
        </w:rPr>
        <w:lastRenderedPageBreak/>
        <w:t>b</w:t>
      </w:r>
      <w:proofErr w:type="gramEnd"/>
      <w:r w:rsidRPr="00D756AF">
        <w:rPr>
          <w:rFonts w:ascii="Arial" w:eastAsia="Times New Roman" w:hAnsi="Arial" w:cs="Arial"/>
          <w:b/>
          <w:bCs/>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b/>
          <w:bCs/>
          <w:color w:val="000000"/>
          <w:sz w:val="20"/>
          <w:szCs w:val="20"/>
        </w:rPr>
        <w:t>In Sweden:</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income-tax, including the national income-tax (den statliga inkomstskatten), including the tax on employees at sea (sjomansskatten) and the withholding tax on dividends (kupongskatten);</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ii.</w:t>
      </w: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the</w:t>
      </w:r>
      <w:proofErr w:type="gramEnd"/>
      <w:r w:rsidRPr="00D756AF">
        <w:rPr>
          <w:rFonts w:ascii="Arial" w:eastAsia="Times New Roman" w:hAnsi="Arial" w:cs="Arial"/>
          <w:color w:val="000000"/>
          <w:sz w:val="20"/>
          <w:szCs w:val="20"/>
        </w:rPr>
        <w:t xml:space="preserve"> income-tax on non-residents (den sarskilda inkomstskatten for utomlands bosatta);</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iii.</w:t>
      </w: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the</w:t>
      </w:r>
      <w:proofErr w:type="gramEnd"/>
      <w:r w:rsidRPr="00D756AF">
        <w:rPr>
          <w:rFonts w:ascii="Arial" w:eastAsia="Times New Roman" w:hAnsi="Arial" w:cs="Arial"/>
          <w:color w:val="000000"/>
          <w:sz w:val="20"/>
          <w:szCs w:val="20"/>
        </w:rPr>
        <w:t xml:space="preserve"> income-tax on non-resident artistes and athletes (den sarskilda inkomstskatten for utomlands bosatta artister m.fl.);</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iv.</w:t>
      </w: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the</w:t>
      </w:r>
      <w:proofErr w:type="gramEnd"/>
      <w:r w:rsidRPr="00D756AF">
        <w:rPr>
          <w:rFonts w:ascii="Arial" w:eastAsia="Times New Roman" w:hAnsi="Arial" w:cs="Arial"/>
          <w:color w:val="000000"/>
          <w:sz w:val="20"/>
          <w:szCs w:val="20"/>
        </w:rPr>
        <w:t xml:space="preserve"> municipal income-tax (den kommunala inkomstskatten);</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v</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tax on means intended for expansion purposes (expansions-medelsskatt); and</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vi.</w:t>
      </w: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the</w:t>
      </w:r>
      <w:proofErr w:type="gramEnd"/>
      <w:r w:rsidRPr="00D756AF">
        <w:rPr>
          <w:rFonts w:ascii="Arial" w:eastAsia="Times New Roman" w:hAnsi="Arial" w:cs="Arial"/>
          <w:color w:val="000000"/>
          <w:sz w:val="20"/>
          <w:szCs w:val="20"/>
        </w:rPr>
        <w:t xml:space="preserve"> net wealth-tax;</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w:t>
      </w:r>
      <w:proofErr w:type="gramStart"/>
      <w:r w:rsidRPr="00D756AF">
        <w:rPr>
          <w:rFonts w:ascii="Arial" w:eastAsia="Times New Roman" w:hAnsi="Arial" w:cs="Arial"/>
          <w:color w:val="000000"/>
          <w:sz w:val="20"/>
          <w:szCs w:val="20"/>
        </w:rPr>
        <w:t>hereinafter</w:t>
      </w:r>
      <w:proofErr w:type="gramEnd"/>
      <w:r w:rsidRPr="00D756AF">
        <w:rPr>
          <w:rFonts w:ascii="Arial" w:eastAsia="Times New Roman" w:hAnsi="Arial" w:cs="Arial"/>
          <w:color w:val="000000"/>
          <w:sz w:val="20"/>
          <w:szCs w:val="20"/>
        </w:rPr>
        <w:t xml:space="preserve"> referred to as 'Swedish tax').</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4.</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existing taxes referred to in paragraph (3). The competent authorities of the Contracting States shall notify each other of any substantial changes which have been made in their respective taxation laws.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3</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GENERAL DEFINITIONS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For the purposes of this Convention, unless the context otherwise requires:</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a.</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 according to the Indian law and in accordance with international law, including the U. N. Convention on the Law of the Sea;</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b.</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'Sweden' means the Kingdom of Sweden and, when used in a geographical sense, includes the national territory, the territorial sea of Sweden as well as other maritime areas over which Sweden in accordance with international law exercises sovereign rights or jurisdiction;</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c</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terms 'a Contracting State' and 'the other Contracting State' mean India or Sweden, as the context requires;</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d.</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e</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'company' means any body corporate or any entity which is treated as a body corporate for tax purposes;</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f.</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g.</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lastRenderedPageBreak/>
        <w:t>h</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'national' means:</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any individual possessing the nationality of a Contracting State;</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ii.</w:t>
      </w: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any</w:t>
      </w:r>
      <w:proofErr w:type="gramEnd"/>
      <w:r w:rsidRPr="00D756AF">
        <w:rPr>
          <w:rFonts w:ascii="Arial" w:eastAsia="Times New Roman" w:hAnsi="Arial" w:cs="Arial"/>
          <w:color w:val="000000"/>
          <w:sz w:val="20"/>
          <w:szCs w:val="20"/>
        </w:rPr>
        <w:t xml:space="preserve"> legal person, partnership and association deriving its status as such from the laws in force in a Contracting State;</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'competent authority' means:</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in India: the Central Government in the Ministry of Finance (Department of Revenue) or their authorised representative;</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ii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in Sweden: the Minister of Finance, his authorised representative or the authority which is designated as a competent authority for the purposes of this Convention;</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j</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'fiscal year' means:</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in the case of India, 'previous year' as defined under section 3 of the Income-tax Act, 1961;</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ii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in the case of Sweden, 'beskattningsar' as defined under section 3 of the Kommunalskattelagen, 1928;</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k.</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'tax' means Indian tax or Swedish tax, as the context requires, but shall not include any amount which is payable in respect of any default or omission in relation to the taxes to which this Convention applies or which represents a penalty imposed relating to those taxes.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4</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RESIDENT</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For the purposes of this Convention, the term 'resident of a Contracting State' means any person who, under the laws of that State, is liable to tax therein by reason of his domicile, residence, place of management or any other criterion of a similar nature, and also includes that State, a political sub-division, a local authority and any governmental body or agency thereof. In the case of a partnership or estate, the term applies only to the extent that the income derived by such partnership or estate is subject to tax in that state as the income of a resident, either in its hands or in the hands of its partners or beneficiaries.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The term 'resident of a Contracting State' does not include any person who is liable to tax in that State in respect only of income from sources in that State or capital situated therein.</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Where by reason of the provisions of paragraph (1), an individual is a resident of both Contracting States, </w:t>
      </w:r>
      <w:proofErr w:type="gramStart"/>
      <w:r w:rsidRPr="00D756AF">
        <w:rPr>
          <w:rFonts w:ascii="Arial" w:eastAsia="Times New Roman" w:hAnsi="Arial" w:cs="Arial"/>
          <w:color w:val="000000"/>
          <w:sz w:val="20"/>
          <w:szCs w:val="20"/>
        </w:rPr>
        <w:t>then</w:t>
      </w:r>
      <w:proofErr w:type="gramEnd"/>
      <w:r w:rsidRPr="00D756AF">
        <w:rPr>
          <w:rFonts w:ascii="Arial" w:eastAsia="Times New Roman" w:hAnsi="Arial" w:cs="Arial"/>
          <w:color w:val="000000"/>
          <w:sz w:val="20"/>
          <w:szCs w:val="20"/>
        </w:rPr>
        <w:t xml:space="preserve"> his status shall be determined as follows:</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a.</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he shall be deemed to be a resident only of the State in which he has a permanent home available to him; if he has a permanent home available to him in both States, he shall be deemed to be a resident of the State with which his personal and economic relations are closer (centre of vital interests);</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b.</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only of the State in which he has an habitual abode;</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lastRenderedPageBreak/>
        <w:t>c</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if he has an habitual abode in both States or in neither of them, he shall be deemed to be a resident only of the State of which he is a national;</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d</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Where by reason of the provisions of paragraph (1), a person other than an individual is a resident of both Contracting States, </w:t>
      </w:r>
      <w:proofErr w:type="gramStart"/>
      <w:r w:rsidRPr="00D756AF">
        <w:rPr>
          <w:rFonts w:ascii="Arial" w:eastAsia="Times New Roman" w:hAnsi="Arial" w:cs="Arial"/>
          <w:color w:val="000000"/>
          <w:sz w:val="20"/>
          <w:szCs w:val="20"/>
        </w:rPr>
        <w:t>then</w:t>
      </w:r>
      <w:proofErr w:type="gramEnd"/>
      <w:r w:rsidRPr="00D756AF">
        <w:rPr>
          <w:rFonts w:ascii="Arial" w:eastAsia="Times New Roman" w:hAnsi="Arial" w:cs="Arial"/>
          <w:color w:val="000000"/>
          <w:sz w:val="20"/>
          <w:szCs w:val="20"/>
        </w:rPr>
        <w:t xml:space="preserve"> it shall be deemed to be a resident of the State in which its place of effective management is situated. If the State in which its place of effective management is situated cannot be determined, then the competent authorities of the Contracting States shall settle the question by mutual agreement.</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5</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PERMANANT ESTABLISHMENT</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'permanent establishment' includes especially:</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a</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place of management;</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b</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branch;</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c</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an office;</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d</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factory;</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e</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workshop;</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f</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mine, an oil or gas well, a quarry or any other place of extraction of natural resources;</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g</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sales outlet;</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h</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warehouse in relation to a person providing storage facilities for others; and</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farm, plantation or other place where agricultural, forestry, plantation or related activities are carried on.</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building site or a construction, assembly or installation project or supervisory activities in connection therewith constitute a permanent establishment only if such site, project or activities continue for a period of more than six months.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4.</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An enterprise shall be deemed to have a permanent establishment in a Contracting State and to carry on business through that permanent establishment if it provides services or facilities in connection with, or supplies plant and machinery on hire used for or to be used in the prospecting for, or extraction or exploitation of mineral oils in that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5.</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Notwithstanding the preceding provisions of this Article, the term 'permanent establishment' shall be deemed not to include:</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a</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use of facilities solely for the purpose of storage, display or delivery of goods or merchandise belonging to the enterprise;</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b</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maintenance of a stock of goods or merchandise belonging to the enterprise solely for the purpose of storage, display or delivery;</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lastRenderedPageBreak/>
        <w:t>c</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maintenance of a stock of goods or merchandise belonging to the enterprise solely for the purpose of processing by another enterprise;</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d</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e</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f.</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6.</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Notwithstanding the provisions of paragraphs (1) and (2), where a person - other than an agent of an independent status to whom paragraph (8) applies - is acting in a Contracting State on behalf of an enterprise of the other Contracting State, that enterprise shall be deemed to have a permanent establishment in the first-mentioned Contracting State in respect of any activities which that person undertakes for the enterprise, if such a person:</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a.</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(5) which, if exercised through a fixed place of business, would not make this fixed place of business a permanent establishment under the provisions of that paragraph; or</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b.</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has no such authority, but habitually maintains in the first-mentioned State a stock of goods or merchandise from which he regularly delivers goods or merchandise on behalf of the enterprise; or</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c</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habitually secures orders in the first-mentioned State, wholly or almost wholly for the enterprise itself or for the enterprise and other enterprises controlling, controlled by, or subject to the same control, as that enterprise.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7.</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(8) applies.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8.</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9.</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6</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INCOME FROM IMMOVABLE PROPERTY</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lastRenderedPageBreak/>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buildings, usufruct of immovable property and rights to variable or fixed payments as consideration for the working of, or the right to work, mineral deposits, sources and other natural resources; ships, boats and aircraft shall not be regarded as immovable property.</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provisions of paragraph (1) shall apply to income derived from the direct use, letting, or use in any other form of immovable property.</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4.</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7</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BUSINESS PROFITS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w:t>
      </w:r>
      <w:proofErr w:type="gramStart"/>
      <w:r w:rsidRPr="00D756AF">
        <w:rPr>
          <w:rFonts w:ascii="Arial" w:eastAsia="Times New Roman" w:hAnsi="Arial" w:cs="Arial"/>
          <w:color w:val="000000"/>
          <w:sz w:val="20"/>
          <w:szCs w:val="20"/>
        </w:rPr>
        <w:t>is</w:t>
      </w:r>
      <w:proofErr w:type="gramEnd"/>
      <w:r w:rsidRPr="00D756AF">
        <w:rPr>
          <w:rFonts w:ascii="Arial" w:eastAsia="Times New Roman" w:hAnsi="Arial" w:cs="Arial"/>
          <w:color w:val="000000"/>
          <w:sz w:val="20"/>
          <w:szCs w:val="20"/>
        </w:rPr>
        <w:t xml:space="preserve"> attributable to that permanent establishment.</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4.</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5.</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6.</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8</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SHIPPING AND AIR TRANSPORT</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Profits of an enterprise of a Contracting State from the operation of ships or aircraft in international traffic shall be taxable only in that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Profits derived by a transportation enterprise which is a resident of a Contracting State from the use, maintenance, or rental of containers (including trailers and other equipment for the transport </w:t>
      </w:r>
      <w:r w:rsidRPr="00D756AF">
        <w:rPr>
          <w:rFonts w:ascii="Arial" w:eastAsia="Times New Roman" w:hAnsi="Arial" w:cs="Arial"/>
          <w:color w:val="000000"/>
          <w:sz w:val="20"/>
          <w:szCs w:val="20"/>
        </w:rPr>
        <w:lastRenderedPageBreak/>
        <w:t>of containers) used for the transport of goods or merchandise in international traffic shall be taxable only in that Contracting State unless the containers are used solely within the other Contracting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With respect to profits derived by the Swedish, Danish and Norwegian air transport consortium Scandinavian Airlines System (SAS), the provisions of paragraph (1) shall apply only to such part of the profits as corresponds to the participation held in that consortium by SAS Sverige AB, the Swedish partner of Scandinavian Airlines System (SAS).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4.</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provisions of paragraphs (1) and (2) shall also apply to profits from the participation in a pool, a joint business or an international operating agency.</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9</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ASSOCIATED ENTERPRISES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Where:</w:t>
      </w:r>
    </w:p>
    <w:p w:rsidR="00D756AF" w:rsidRPr="00D756AF" w:rsidRDefault="00D756AF" w:rsidP="00D756AF">
      <w:pPr>
        <w:spacing w:before="100" w:line="240" w:lineRule="auto"/>
        <w:ind w:left="72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a</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D756AF" w:rsidRPr="00D756AF" w:rsidRDefault="00D756AF" w:rsidP="00D756AF">
      <w:pPr>
        <w:spacing w:before="100" w:line="240" w:lineRule="auto"/>
        <w:ind w:left="72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b</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Any case resulting in double taxation from the application of this Article may be resolved under the mutual agreement procedure.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10</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DIVIDENDS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Notwithstanding the provisions of paragraph (1),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 10 per cent of the gross amount of the dividends.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This paragraph shall not affect the taxation of the company in respect of the profits out of which the dividends are paid.</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4.</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w:t>
      </w:r>
      <w:r w:rsidRPr="00D756AF">
        <w:rPr>
          <w:rFonts w:ascii="Arial" w:eastAsia="Times New Roman" w:hAnsi="Arial" w:cs="Arial"/>
          <w:color w:val="000000"/>
          <w:sz w:val="20"/>
          <w:szCs w:val="20"/>
        </w:rPr>
        <w:lastRenderedPageBreak/>
        <w:t>situated therein, and the holding in respect of which the dividends are paid is effectively connected with such permanent establishment or fixed base. In such case, the provisions of Article 7 or Article 14, as the case may be, shall apply.</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5.</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11</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INTEREST</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Interest arising in a Contracting State and paid to a resident of the other Contracting State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However, such interest may also be taxed in the Contracting State in which it arises and according to the laws of that State, but if the beneficial owner of the interest is a resident of the other Contracting State, the tax so charged shall not exceed 10 per cent of the gross amount of the interest.</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Notwithstanding the provisions of paragraph (2), interest arising in a Contracting State shall be exempt from tax in that Contracting State provided it is derived and beneficially owned by, or derived in connection with a loan or credit extended or endorsed by:</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Government, a political sub-division, a statutory body, or a local authority of the other Contracting State; or</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ii.</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in the case of India, the Reserve Bank of India, the Industrial Finance Corporation of India, the Industrial Development Bank of India, the Export-Import Bank of India, the National Housing Bank, the Small Industries Development Bank of India and the Industrial Credit and Investment Corporation of India (ICICI); and in the case of Sweden, the Swedish International Development Authority (SIDA), SWEDECORP (Styrelsen for internationellt naringslivsbistand), Swedfund International AB or The Swedish Export Credits Guarantee Board (Exportkreditnamnden); or</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iii.</w:t>
      </w: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any</w:t>
      </w:r>
      <w:proofErr w:type="gramEnd"/>
      <w:r w:rsidRPr="00D756AF">
        <w:rPr>
          <w:rFonts w:ascii="Arial" w:eastAsia="Times New Roman" w:hAnsi="Arial" w:cs="Arial"/>
          <w:color w:val="000000"/>
          <w:sz w:val="20"/>
          <w:szCs w:val="20"/>
        </w:rPr>
        <w:t xml:space="preserve"> other institution as may be agreed from time to time between the competent authorities of the Contracting States.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4.</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5.</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provisions of paragraphs (1), (2) and (3)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lastRenderedPageBreak/>
        <w:t>6.</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Interest shall be deemed to arise in a Contracting State when the payer is a resident of that State. Where, however, the person paying the interest, whether he is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7.</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12</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ROYALTIES AND FEES FOR TECHNICAL SERVICES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Notwithstanding the provisions of paragraph (1), such royalties and fees for technical services may also be taxed in the Contracting State in which they arise, and according to the laws of that State, but if the recipient is the beneficial owner of the royalties or fees for technical services, the tax so charged shall not exceed 10 per cent of the gross amount of the royalties or fees for technical services.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a.</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any patent, trade mark, design or model, plan, secret formula or process, or for information concerning industrial, commercial or scientific experience.</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b.</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'fees for technical services' means payment of any kind in consideration for the rendering of any managerial, technical or consultancy services including the provision of services by technical or other personnel but does not include payments for services mentioned in Articles 14 and 15 of this Convention.</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4.</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or property in respect of which the royalties or fees for technical services are paid is effectively connected with such permanent establishment or fixed base. In such case, the provisions of Article 7 or Article 14, as the case may be, shall apply.`</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5.</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Royalties or fees for technical services shall be deemed to arise in a Contracting State when the payer is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w:t>
      </w:r>
      <w:r w:rsidRPr="00D756AF">
        <w:rPr>
          <w:rFonts w:ascii="Arial" w:eastAsia="Times New Roman" w:hAnsi="Arial" w:cs="Arial"/>
          <w:color w:val="000000"/>
          <w:sz w:val="20"/>
          <w:szCs w:val="20"/>
        </w:rPr>
        <w:lastRenderedPageBreak/>
        <w:t>technical services shall be deemed to arise in the State in which the permanent establishment or fixed base is situated.</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6.</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13</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CAPITAL GAINS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Gains from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Gains derived by a resident of a Contracting State from the alienation of ships or aircraft operated in international traffic or movable property pertaining to the operation of such ships or aircraft, shall be taxable only in that State.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With respect to gains derived by the Swedish, Danish and Norwegian air transport consortium Scandinavian Airlines System (SAS), the provisions of this paragraph shall apply only to such portion of the gains as corresponds to the participation held in that consortium by SAS Sverige AB, the Swedish partner of Scandinavian Airlines System (SAS).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4.</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5.</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Gains from the alienation of any property other than that referred to in paragraphs (1), (2), (3) and (4), shall be taxable only in the Contracting State of which the alienator is a resident, provided that such resident is subject to tax thereon in that State. If the resident is not subject to tax thereon, then such gains may be taxed in the other Contracting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6.</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Notwithstanding the provisions of paragraph (5), gains from the alienation of any property derived by an individual who has been a resident of a Contracting State and who has become a resident of the other Contracting State, may be taxed in the first-mentioned State if the alienation of the property occurs at any time during the four years next following the date on which the individual has ceased to be a resident of the first-mentioned State.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14</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INDEPENDENT PERSONAL SERVICES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be taxed in the other Contracting State:</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lastRenderedPageBreak/>
        <w:t>a.</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the other State; or</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b.</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if his stay in the other State is for a period or periods aggregating 183 days or more in any twelve-month period commencing or ending in the fiscal year concerned; in that case, only so much of the income as is derived from his activities performed in that other State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surgeons, dentists and accountants.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15</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DEPENDENT PERSONAL SERVICES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a.</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recipient is present in the other State for a period or periods not exceeding in the aggregate 183 days in any twelve-month period commencing or ending in the fiscal year concerned; and</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b</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remuneration is paid by, or on behalf of, an employer who is not a resident of the other State; and</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c</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remuneration is not borne by a permanent establishment or a fixed base which the employer has in the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Notwithstanding the preceding provisions of this Article, remuneration derived in respect of an employment exercised aboard a ship or aircraft operated in international traffic by an enterprise of a Contracting State may be taxed in that State. Where a resident of Sweden derives remuneration in respect of an employment exercised aboard an aircraft operated in international traffic by the Swedish, Danish and Norwegian air transport consortium Scandinavian Airlines System (SAS), </w:t>
      </w:r>
      <w:proofErr w:type="gramStart"/>
      <w:r w:rsidRPr="00D756AF">
        <w:rPr>
          <w:rFonts w:ascii="Arial" w:eastAsia="Times New Roman" w:hAnsi="Arial" w:cs="Arial"/>
          <w:color w:val="000000"/>
          <w:sz w:val="20"/>
          <w:szCs w:val="20"/>
        </w:rPr>
        <w:t>such</w:t>
      </w:r>
      <w:proofErr w:type="gramEnd"/>
      <w:r w:rsidRPr="00D756AF">
        <w:rPr>
          <w:rFonts w:ascii="Arial" w:eastAsia="Times New Roman" w:hAnsi="Arial" w:cs="Arial"/>
          <w:color w:val="000000"/>
          <w:sz w:val="20"/>
          <w:szCs w:val="20"/>
        </w:rPr>
        <w:t xml:space="preserve"> remuneration shall be taxable only in Sweden.</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16</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DIRECTORS' FEES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State.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17</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ARTISTES AND SPORTSPERSONS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Notwithstanding the provisions of Articles 14 and 15, income derived by a resident of a Contracting State as an artiste, such as a theatre, motion picture, radio or television artiste, or a </w:t>
      </w:r>
      <w:r w:rsidRPr="00D756AF">
        <w:rPr>
          <w:rFonts w:ascii="Arial" w:eastAsia="Times New Roman" w:hAnsi="Arial" w:cs="Arial"/>
          <w:color w:val="000000"/>
          <w:sz w:val="20"/>
          <w:szCs w:val="20"/>
        </w:rPr>
        <w:lastRenderedPageBreak/>
        <w:t>musician, or as a sportsperson, from his personal activities as such exercised in the other Contracting State,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Where income in respect of personal activities exercised by an artiste or a sportsperson in his capacity as such accrues not to the artiste or sportsperson himself but to another person, that income may, notwithstanding the provisions of Articles 7, 14 and 15, be taxed in the Contracting State in which the activities of the artiste or sportsperson are exercised.</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provisions of paragraphs (1) and (2), shall not apply to income from activities performed in a Contracting State by artistes or sportspersons if the visit to that State is substantially supported by public funds of the other Contracting State or of a political sub-division or local authority thereof. In such a case, the income shall be taxable only in the Contracting State of which the artiste or sportsperson is a resident.</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18</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PENSIONS, SOCIAL SECURITRY PAYMENTS AND ANNUITIES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Subject to the provisions of paragraph 2 of Article 19, pensions and other similar remuneration in consideration of past employment, annuities and payments under the Social Security legislation arising in a Contracting State and paid to a resident of the other Contracting State may be taxed in the first-mentioned Contracting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19</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GOVERNMENT SERVICE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a.</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b.</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i</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is a national of that State; or</w:t>
      </w:r>
    </w:p>
    <w:p w:rsidR="00D756AF" w:rsidRPr="00D756AF" w:rsidRDefault="00D756AF" w:rsidP="00D756AF">
      <w:pPr>
        <w:spacing w:before="100" w:line="240" w:lineRule="auto"/>
        <w:ind w:left="1440" w:hanging="1440"/>
        <w:jc w:val="both"/>
        <w:rPr>
          <w:rFonts w:ascii="Calibri" w:eastAsia="Times New Roman" w:hAnsi="Calibri" w:cs="Calibri"/>
          <w:color w:val="000000"/>
        </w:rPr>
      </w:pP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ii.</w:t>
      </w:r>
      <w:r w:rsidRPr="00D756AF">
        <w:rPr>
          <w:rFonts w:ascii="Times New Roman" w:eastAsia="Times New Roman" w:hAnsi="Times New Roman" w:cs="Times New Roman"/>
          <w:color w:val="000000"/>
          <w:sz w:val="14"/>
          <w:szCs w:val="14"/>
        </w:rPr>
        <w:t>        </w:t>
      </w:r>
      <w:proofErr w:type="gramStart"/>
      <w:r w:rsidRPr="00D756AF">
        <w:rPr>
          <w:rFonts w:ascii="Arial" w:eastAsia="Times New Roman" w:hAnsi="Arial" w:cs="Arial"/>
          <w:color w:val="000000"/>
          <w:sz w:val="20"/>
          <w:szCs w:val="20"/>
        </w:rPr>
        <w:t>did</w:t>
      </w:r>
      <w:proofErr w:type="gramEnd"/>
      <w:r w:rsidRPr="00D756AF">
        <w:rPr>
          <w:rFonts w:ascii="Arial" w:eastAsia="Times New Roman" w:hAnsi="Arial" w:cs="Arial"/>
          <w:color w:val="000000"/>
          <w:sz w:val="20"/>
          <w:szCs w:val="20"/>
        </w:rPr>
        <w:t xml:space="preserve"> not become a resident of that State solely for the purpose of rendering the services.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a.</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b.</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However, such pension shall be taxable only in the other Contracting State if the individual is a resident of, and a national of, that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provisions of Articles 15, 16 and 18 shall apply to remuneration and to pensions in respect of services rendered in connection with a business carried on by a Contracting State or a political sub-division or a local authority thereof.</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20</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lastRenderedPageBreak/>
        <w:t>STUDENTS AND APPRENTICES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student or business apprentice who is or was immediately before visiting a Contracting State a resident of the other Contracting State and who is present in the first-mentioned State solely for the purpose of his education or training shall, besides loans on preferential conditions provided by the Government or any other organisation or institution of the first-mentioned State and tax exempt grants and scholarships, be exempt from tax in the first-mentioned State on:</w:t>
      </w:r>
    </w:p>
    <w:p w:rsidR="00D756AF" w:rsidRPr="00D756AF" w:rsidRDefault="00D756AF" w:rsidP="00D756AF">
      <w:pPr>
        <w:spacing w:before="100" w:line="240" w:lineRule="auto"/>
        <w:ind w:left="1080" w:hanging="360"/>
        <w:jc w:val="both"/>
        <w:rPr>
          <w:rFonts w:ascii="Calibri" w:eastAsia="Times New Roman" w:hAnsi="Calibri" w:cs="Calibri"/>
          <w:color w:val="000000"/>
        </w:rPr>
      </w:pPr>
      <w:proofErr w:type="gramStart"/>
      <w:r w:rsidRPr="00D756AF">
        <w:rPr>
          <w:rFonts w:ascii="Arial" w:eastAsia="Times New Roman" w:hAnsi="Arial" w:cs="Arial"/>
          <w:color w:val="000000"/>
          <w:sz w:val="20"/>
          <w:szCs w:val="20"/>
        </w:rPr>
        <w:t>a</w:t>
      </w:r>
      <w:proofErr w:type="gramEnd"/>
      <w:r w:rsidRPr="00D756AF">
        <w:rPr>
          <w:rFonts w:ascii="Arial" w:eastAsia="Times New Roman" w:hAnsi="Arial" w:cs="Arial"/>
          <w:color w:val="000000"/>
          <w:sz w:val="20"/>
          <w:szCs w:val="20"/>
        </w:rPr>
        <w:t>.</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payments made to him by persons residing outside the first-mentioned State for the purpose of his maintenance, education or training; and</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b.</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remuneration from employment in the first-mentioned State, in an amount not exceeding 10,000 (ten thousand) Swedish Kronor or its equivalent amount during any fiscal year, as the case may be, provided that such employment is directly related to his studies or is undertaken for the purpose of his maintenance and that his stay in the first-mentioned State lasts for six months or more.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benefit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the first-mentioned State.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21</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PROFESSORS, TEACHERS AND RESEARCH SCHOLARS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A professor, teacher or research scholar who, visits a Contracting State at the invitation of that State or of a university, college, school or other such institution of that State not exceeding three years solely for the purpose of teaching, giving lectures or carrying out research at such institution and who is, or was immediately before that visit, a resident of the other Contracting State shall be exempt from tax in the first-mentioned State, provided that the institution in question receives approval from the competent authority of that Contracting State, on his remuneration for such activity during the period of the first year from the date of his arrival and in the subsequent years, the exemption will be only in respect of remuneration derived by him from outside that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22</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OTHER INCOME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Items of income of a resident of a Contracting State, wherever arising, not dealt with in the foregoing Articles of this Convention shall be taxable only in that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w:t>
      </w:r>
      <w:proofErr w:type="gramStart"/>
      <w:r w:rsidRPr="00D756AF">
        <w:rPr>
          <w:rFonts w:ascii="Arial" w:eastAsia="Times New Roman" w:hAnsi="Arial" w:cs="Arial"/>
          <w:color w:val="000000"/>
          <w:sz w:val="20"/>
          <w:szCs w:val="20"/>
        </w:rPr>
        <w:t>in</w:t>
      </w:r>
      <w:proofErr w:type="gramEnd"/>
      <w:r w:rsidRPr="00D756AF">
        <w:rPr>
          <w:rFonts w:ascii="Arial" w:eastAsia="Times New Roman" w:hAnsi="Arial" w:cs="Arial"/>
          <w:color w:val="000000"/>
          <w:sz w:val="20"/>
          <w:szCs w:val="20"/>
        </w:rPr>
        <w:t xml:space="preserve"> such case, the provisions of Article 7 or Article 14, as the case may be, shall apply.</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Notwithstanding the provisions of paragraph (1), if a resident of a Contracting State derives income from sources within the other Contracting State in the form of lotteries, crossword puzzles, races including horse races, card games and other games of any sort or gambling or </w:t>
      </w:r>
      <w:r w:rsidRPr="00D756AF">
        <w:rPr>
          <w:rFonts w:ascii="Arial" w:eastAsia="Times New Roman" w:hAnsi="Arial" w:cs="Arial"/>
          <w:color w:val="000000"/>
          <w:sz w:val="20"/>
          <w:szCs w:val="20"/>
        </w:rPr>
        <w:lastRenderedPageBreak/>
        <w:t>betting of any form or nature whatsoever, such income may be taxed in the other Contracting State.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23</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CAPITAL</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Capital represented by ships and aircraft operated in international traffic by an enterprise of a Contracting State and by movable property pertaining to the operation of such ships and aircraft, shall be taxable only in that State.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With respect to capital owned by the Swedish, Danish and Norwegian air transport consortium Scandinavian Airlines System (SAS), the provisions of this Article shall apply only to such part of the capital as relates to the participation held in that consortium by SAS Sverige AB, the Swedish partner of SAS.</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24</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ELIMINATION OF DOUBLE TAXATION</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b/>
          <w:bCs/>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b/>
          <w:bCs/>
          <w:color w:val="000000"/>
          <w:sz w:val="20"/>
          <w:szCs w:val="20"/>
        </w:rPr>
        <w:t>The laws in force in either of the Contracting State will continue to govern the taxation of income in the respective Contracting States except where provisions to the contrary are made in this Convention.</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b/>
          <w:bCs/>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b/>
          <w:bCs/>
          <w:color w:val="000000"/>
          <w:sz w:val="20"/>
          <w:szCs w:val="20"/>
        </w:rPr>
        <w:t>In the case of India, double taxation shall be avoided as follows:</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a.</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Where a resident of India derives income which, in accordance with the provisions of this Convention, may be taxed in Sweden, India shall allow as a deduction from the tax on the income of that resident an amount equal to the income-tax paid in Sweden whether directly or by way of deduction at source. Such amount shall not, however, exceed that part of the income-tax, as computed before the deduction is given, which is attributable to the income which may be taxed in Sweden.</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b.</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Where a resident of India derives income which, in accordance with the provisions of this Convention, shall be taxable only in Sweden, India may, when determining the graduated rate of Indian tax, take into account the income which shall be taxable only in Sweden.</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c.</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Where a resident of India owns assets which, in accordance with the provisions of this Convention, may be taxed in Sweden, India shall allow as a deduction from tax on such assets an amount equal to the tax on net wealth paid in Sweden in respect of such assets. Such deduction shall not, however, exceed that part of the Indian tax on net wealth as computed before the deduction is given which is appropriate to the assets which may be taxed in Sweden.</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b/>
          <w:bCs/>
          <w:color w:val="000000"/>
          <w:sz w:val="20"/>
          <w:szCs w:val="20"/>
        </w:rPr>
        <w:t>3.</w:t>
      </w:r>
      <w:r w:rsidRPr="00D756AF">
        <w:rPr>
          <w:rFonts w:ascii="Times New Roman" w:eastAsia="Times New Roman" w:hAnsi="Times New Roman" w:cs="Times New Roman"/>
          <w:color w:val="000000"/>
          <w:sz w:val="14"/>
          <w:szCs w:val="14"/>
        </w:rPr>
        <w:t>     </w:t>
      </w:r>
      <w:r w:rsidRPr="00D756AF">
        <w:rPr>
          <w:rFonts w:ascii="Arial" w:eastAsia="Times New Roman" w:hAnsi="Arial" w:cs="Arial"/>
          <w:b/>
          <w:bCs/>
          <w:color w:val="000000"/>
          <w:sz w:val="20"/>
          <w:szCs w:val="20"/>
        </w:rPr>
        <w:t>In the case of Sweden, double taxation shall be avoided as follows:</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a.</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 xml:space="preserve">Where a resident of Sweden derives income which under the laws of India and in accordance with the provisions of this Convention may be taxed in India, Sweden shall allow-subject to the provisions of the laws of Sweden concerning credit for foreign tax (as it may be amended </w:t>
      </w:r>
      <w:r w:rsidRPr="00D756AF">
        <w:rPr>
          <w:rFonts w:ascii="Arial" w:eastAsia="Times New Roman" w:hAnsi="Arial" w:cs="Arial"/>
          <w:color w:val="000000"/>
          <w:sz w:val="20"/>
          <w:szCs w:val="20"/>
        </w:rPr>
        <w:lastRenderedPageBreak/>
        <w:t>from time to time without changing the general principle hereof)-as a deduction from the tax on such income, an amount equal to the Indian tax paid in respect of such income.</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b.</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Where a resident of Sweden derives income which, in accordance with the provisions of this Convention, shall be taxable only in India, Sweden may, when determining the graduated rate of Swedish tax, take into account the income which shall be taxable only in India.</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c.</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Notwithstanding the provisions of sub-paragraph (a) of this paragraph, dividends paid by a company which is a resident of India to a company which is a resident of Sweden shall be exempt from Swedish tax according to the provisions of Swedish law governing the exemption of tax on dividends paid to Swedish companies by subsidiaries abroad.</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d.</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For the purposes of sub-paragraph (a) of this paragraph, the term 'Indian tax paid' shall be deemed to include the Indian tax which would have been paid but for any exemption or reduction of tax granted under incentive provisions contained in the Indian law designed to promote economic development to the extent that such exemption or reduction is granted for profits from industrial or manufacturing activities or from agriculture, fishing or tourism (including restaurants and hotels) provided that the activities have been carried out within India. For the purpose of sub-paragraph (c) of this paragraph, a tax of 15 per cent calculated on a Swedish tax base shall be considered to have been paid for such activities under those conditions mentioned in the previous sentence.</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color w:val="000000"/>
          <w:sz w:val="20"/>
          <w:szCs w:val="20"/>
        </w:rPr>
        <w:t>The competent authorities may agree to extend the application of this provision also to other activities.</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e.</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provisions of paragraph (d) shall apply only for the first ten years during which this Convention is effective. This period may be extended by a mutual agreement between the competent authorities.</w:t>
      </w:r>
    </w:p>
    <w:p w:rsidR="00D756AF" w:rsidRPr="00D756AF" w:rsidRDefault="00D756AF" w:rsidP="00D756AF">
      <w:pPr>
        <w:spacing w:before="100" w:line="240" w:lineRule="auto"/>
        <w:ind w:left="1080" w:hanging="360"/>
        <w:jc w:val="both"/>
        <w:rPr>
          <w:rFonts w:ascii="Calibri" w:eastAsia="Times New Roman" w:hAnsi="Calibri" w:cs="Calibri"/>
          <w:color w:val="000000"/>
        </w:rPr>
      </w:pPr>
      <w:r w:rsidRPr="00D756AF">
        <w:rPr>
          <w:rFonts w:ascii="Arial" w:eastAsia="Times New Roman" w:hAnsi="Arial" w:cs="Arial"/>
          <w:color w:val="000000"/>
          <w:sz w:val="20"/>
          <w:szCs w:val="20"/>
        </w:rPr>
        <w:t>f.</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Where a resident of Sweden owns assets which, in accordance with the provisions of this Convention, may be taxed in India, Sweden shall allow as a deduction from tax on such assets an amount equal to the tax on net wealth paid in India in respect of such assets. Such deduction shall not, however, exceed that part of the Swedish tax on net wealth as computed before the deduction is given which is appropriate to the assets which may be taxed in India.</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ARTICLE 25</w:t>
      </w:r>
    </w:p>
    <w:p w:rsidR="00D756AF" w:rsidRPr="00D756AF" w:rsidRDefault="00D756AF" w:rsidP="00D756AF">
      <w:pPr>
        <w:spacing w:before="100" w:line="240" w:lineRule="auto"/>
        <w:jc w:val="both"/>
        <w:rPr>
          <w:rFonts w:ascii="Calibri" w:eastAsia="Times New Roman" w:hAnsi="Calibri" w:cs="Calibri"/>
          <w:color w:val="000000"/>
        </w:rPr>
      </w:pPr>
      <w:r w:rsidRPr="00D756AF">
        <w:rPr>
          <w:rFonts w:ascii="Arial" w:eastAsia="Times New Roman" w:hAnsi="Arial" w:cs="Arial"/>
          <w:b/>
          <w:bCs/>
          <w:color w:val="000000"/>
          <w:sz w:val="20"/>
          <w:szCs w:val="20"/>
        </w:rPr>
        <w:t>NON-DISCRIMINATION</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1.</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 This provision shall, notwithstanding the provisions of Article 1, also apply to persons who are not residents of one or both of the Contracting States.</w:t>
      </w:r>
    </w:p>
    <w:p w:rsidR="00D756AF" w:rsidRPr="00D756AF" w:rsidRDefault="00D756AF" w:rsidP="00D756AF">
      <w:pPr>
        <w:spacing w:before="100" w:line="240" w:lineRule="auto"/>
        <w:ind w:left="720" w:hanging="360"/>
        <w:jc w:val="both"/>
        <w:rPr>
          <w:rFonts w:ascii="Calibri" w:eastAsia="Times New Roman" w:hAnsi="Calibri" w:cs="Calibri"/>
          <w:color w:val="000000"/>
        </w:rPr>
      </w:pPr>
      <w:r w:rsidRPr="00D756AF">
        <w:rPr>
          <w:rFonts w:ascii="Arial" w:eastAsia="Times New Roman" w:hAnsi="Arial" w:cs="Arial"/>
          <w:color w:val="000000"/>
          <w:sz w:val="20"/>
          <w:szCs w:val="20"/>
        </w:rPr>
        <w:t>2.</w:t>
      </w:r>
      <w:r w:rsidRPr="00D756AF">
        <w:rPr>
          <w:rFonts w:ascii="Times New Roman" w:eastAsia="Times New Roman" w:hAnsi="Times New Roman" w:cs="Times New Roman"/>
          <w:color w:val="000000"/>
          <w:sz w:val="14"/>
          <w:szCs w:val="14"/>
        </w:rPr>
        <w:t>     </w:t>
      </w:r>
      <w:r w:rsidRPr="00D756AF">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obliging a Contracting State to grant to residents of the other Contracting</w:t>
      </w:r>
    </w:p>
    <w:sectPr w:rsidR="00D756AF" w:rsidRPr="00D75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AF"/>
    <w:rsid w:val="002B65D2"/>
    <w:rsid w:val="00D7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43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7195</Words>
  <Characters>41012</Characters>
  <Application>Microsoft Office Word</Application>
  <DocSecurity>0</DocSecurity>
  <Lines>341</Lines>
  <Paragraphs>96</Paragraphs>
  <ScaleCrop>false</ScaleCrop>
  <Company/>
  <LinksUpToDate>false</LinksUpToDate>
  <CharactersWithSpaces>48111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2019-07-23T07:45:00Z</dcterms:created>
  <dcterms:modified xsi:type="dcterms:W3CDTF">2019-07-23T07:46:00Z</dcterms:modified>
</cp:coreProperties>
</file>